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2" w:rsidRDefault="00371C52" w:rsidP="00371C52">
      <w:pPr>
        <w:jc w:val="right"/>
      </w:pPr>
      <w:r>
        <w:t>Bruxelles, le 29 mai 2020</w:t>
      </w:r>
    </w:p>
    <w:p w:rsidR="00371C52" w:rsidRDefault="00477ECA" w:rsidP="00477ECA">
      <w:r>
        <w:t xml:space="preserve">Madame, Monsieur, </w:t>
      </w:r>
    </w:p>
    <w:p w:rsidR="00477ECA" w:rsidRDefault="00477ECA" w:rsidP="00477ECA">
      <w:r>
        <w:t>Nous avons pris connaissance de la consultation publique relative au déploiement des systèmes intelligents de mesure en région bruxelloise et des documents faisant l’objet de la consultation.</w:t>
      </w:r>
    </w:p>
    <w:p w:rsidR="00477ECA" w:rsidRDefault="00477ECA" w:rsidP="00477ECA">
      <w:r>
        <w:t xml:space="preserve">La lecture de ces documents nous incite à vous demander de tenir compte </w:t>
      </w:r>
      <w:r w:rsidR="00371C52">
        <w:t xml:space="preserve">de </w:t>
      </w:r>
      <w:r w:rsidR="00A93A8E">
        <w:t>mes commentaires</w:t>
      </w:r>
      <w:r w:rsidR="00371C52">
        <w:t xml:space="preserve"> </w:t>
      </w:r>
      <w:r>
        <w:t xml:space="preserve">dans la version finale de votre avis. </w:t>
      </w:r>
    </w:p>
    <w:p w:rsidR="00477ECA" w:rsidRPr="00477ECA" w:rsidRDefault="00477ECA" w:rsidP="00477ECA">
      <w:pPr>
        <w:rPr>
          <w:b/>
          <w:bCs/>
        </w:rPr>
      </w:pPr>
      <w:r w:rsidRPr="00477ECA">
        <w:rPr>
          <w:b/>
          <w:bCs/>
        </w:rPr>
        <w:t>Pri</w:t>
      </w:r>
      <w:r w:rsidR="007A4EBC">
        <w:rPr>
          <w:b/>
          <w:bCs/>
        </w:rPr>
        <w:t>oritairement</w:t>
      </w:r>
    </w:p>
    <w:p w:rsidR="00371C52" w:rsidRDefault="00371C52" w:rsidP="00371C52">
      <w:pPr>
        <w:pStyle w:val="Paragraphedeliste"/>
        <w:numPr>
          <w:ilvl w:val="0"/>
          <w:numId w:val="15"/>
        </w:numPr>
      </w:pPr>
      <w:r>
        <w:t>Il n’y a aucune nécessité de développer de tels réseaux qui créent beaucoup plus de graves problèmes qu’ils n’en résolvent. Pointons ici trois des plus graves :</w:t>
      </w:r>
    </w:p>
    <w:p w:rsidR="00371C52" w:rsidRDefault="00210B08" w:rsidP="00371C52">
      <w:pPr>
        <w:spacing w:after="0"/>
      </w:pPr>
      <w:r>
        <w:tab/>
      </w:r>
      <w:proofErr w:type="spellStart"/>
      <w:r>
        <w:t>-l’accès</w:t>
      </w:r>
      <w:proofErr w:type="spellEnd"/>
      <w:r>
        <w:t xml:space="preserve"> d’opérateurs commerciaux</w:t>
      </w:r>
      <w:r w:rsidR="00371C52">
        <w:t xml:space="preserve"> à des données privées fondamentales, à tout moment, hors du </w:t>
      </w:r>
      <w:r w:rsidR="00371C52">
        <w:tab/>
        <w:t>contrôle permanent des citoyens concernés ;</w:t>
      </w:r>
    </w:p>
    <w:p w:rsidR="00371C52" w:rsidRDefault="00371C52" w:rsidP="00371C52">
      <w:pPr>
        <w:spacing w:after="0"/>
      </w:pPr>
      <w:r>
        <w:tab/>
        <w:t xml:space="preserve">-la possibilité de couper </w:t>
      </w:r>
      <w:r w:rsidR="00C822E9">
        <w:t xml:space="preserve">ou de réduire, sans concertation avec l’utilisateur, </w:t>
      </w:r>
      <w:r>
        <w:t xml:space="preserve">une source d’énergie </w:t>
      </w:r>
      <w:r w:rsidR="00C822E9">
        <w:tab/>
      </w:r>
      <w:r>
        <w:t xml:space="preserve">fondamentale à distance, en cas de retard de </w:t>
      </w:r>
      <w:r w:rsidR="00C822E9">
        <w:t xml:space="preserve">paiement ou </w:t>
      </w:r>
      <w:r>
        <w:t xml:space="preserve">de non-paiement, ce qui vient </w:t>
      </w:r>
      <w:r w:rsidR="00C822E9">
        <w:tab/>
      </w:r>
      <w:r>
        <w:t xml:space="preserve">bouleverser un </w:t>
      </w:r>
      <w:r w:rsidR="00C822E9">
        <w:tab/>
      </w:r>
      <w:r>
        <w:t>droit fondamental ;</w:t>
      </w:r>
    </w:p>
    <w:p w:rsidR="00371C52" w:rsidRDefault="00371C52" w:rsidP="00371C52">
      <w:r>
        <w:tab/>
        <w:t>-</w:t>
      </w:r>
      <w:r w:rsidR="00A93A8E">
        <w:t xml:space="preserve">le surcroit de pollution électromagnétique qui par les effets cumulatifs des trop nombreuses sources </w:t>
      </w:r>
      <w:r w:rsidR="00A93A8E">
        <w:tab/>
        <w:t xml:space="preserve">émettrices d’ondes, d’autant plus dans une ville densément peuplée, met en danger la santé publique de </w:t>
      </w:r>
      <w:r w:rsidR="00A93A8E">
        <w:tab/>
        <w:t xml:space="preserve">tous. Notre avis est donc que l’intérêt de santé publique et de citoyenneté démocratique doit primer sur </w:t>
      </w:r>
      <w:r w:rsidR="00A93A8E">
        <w:tab/>
        <w:t xml:space="preserve">toute considération d’ordre commercial et que de telles fausses bonnes idées doivent être purement et </w:t>
      </w:r>
      <w:r w:rsidR="00A93A8E">
        <w:tab/>
        <w:t>simplement abandonnées.</w:t>
      </w:r>
    </w:p>
    <w:p w:rsidR="00371C52" w:rsidRDefault="007A4EBC" w:rsidP="00477ECA">
      <w:pPr>
        <w:rPr>
          <w:b/>
          <w:bCs/>
        </w:rPr>
      </w:pPr>
      <w:r>
        <w:rPr>
          <w:b/>
          <w:bCs/>
        </w:rPr>
        <w:t>Par défaut du choix prioritaire</w:t>
      </w:r>
    </w:p>
    <w:p w:rsidR="00210B08" w:rsidRDefault="00A93A8E" w:rsidP="00371C52">
      <w:pPr>
        <w:pStyle w:val="Paragraphedeliste"/>
        <w:numPr>
          <w:ilvl w:val="0"/>
          <w:numId w:val="15"/>
        </w:numPr>
      </w:pPr>
      <w:r>
        <w:t>Dans la situation malheureuse où le déploiement de ce type de réseaux techniques que nous refusons de mentionne</w:t>
      </w:r>
      <w:r w:rsidR="00210B08">
        <w:t xml:space="preserve">r comme « intelligents », </w:t>
      </w:r>
      <w:r w:rsidR="00C822E9">
        <w:t>(</w:t>
      </w:r>
      <w:r w:rsidR="00210B08">
        <w:t>terme on ne peut plus impropre</w:t>
      </w:r>
      <w:r>
        <w:t xml:space="preserve"> </w:t>
      </w:r>
      <w:r w:rsidR="00C822E9">
        <w:t xml:space="preserve">lorsqu’il est </w:t>
      </w:r>
      <w:r w:rsidR="00210B08">
        <w:t xml:space="preserve">appliqué à un objet </w:t>
      </w:r>
      <w:r w:rsidR="00C822E9">
        <w:t xml:space="preserve">et </w:t>
      </w:r>
      <w:r>
        <w:t xml:space="preserve">qui </w:t>
      </w:r>
      <w:r w:rsidR="00210B08">
        <w:t>a principalement pour effet</w:t>
      </w:r>
      <w:r>
        <w:t xml:space="preserve"> de déqualifier l’être humain</w:t>
      </w:r>
      <w:r w:rsidR="00C822E9">
        <w:t>)</w:t>
      </w:r>
      <w:r>
        <w:t xml:space="preserve">, </w:t>
      </w:r>
      <w:r w:rsidR="00210B08">
        <w:t xml:space="preserve">serait néanmoins retenus, nous insistons sur l’obligation de respecter une séries de principes qui devraient être obligatoires et inscrits comme tels dans les normes légales. </w:t>
      </w:r>
    </w:p>
    <w:p w:rsidR="00167EA9" w:rsidRDefault="00210B08" w:rsidP="00210B08">
      <w:pPr>
        <w:ind w:left="360"/>
      </w:pPr>
      <w:r>
        <w:tab/>
        <w:t>a) L</w:t>
      </w:r>
      <w:r w:rsidR="00371C52">
        <w:t xml:space="preserve">e </w:t>
      </w:r>
      <w:r>
        <w:t xml:space="preserve">principe du </w:t>
      </w:r>
      <w:r w:rsidR="00371C52" w:rsidRPr="00210B08">
        <w:rPr>
          <w:b/>
          <w:bCs/>
        </w:rPr>
        <w:t>libre choix</w:t>
      </w:r>
      <w:r w:rsidR="00371C52">
        <w:t xml:space="preserve"> </w:t>
      </w:r>
      <w:r>
        <w:t xml:space="preserve">de chaque utilisateur </w:t>
      </w:r>
      <w:r w:rsidR="00371C52">
        <w:t xml:space="preserve">d’opter </w:t>
      </w:r>
      <w:r>
        <w:t xml:space="preserve">ou non </w:t>
      </w:r>
      <w:r w:rsidR="00371C52">
        <w:t xml:space="preserve">pour un compteur </w:t>
      </w:r>
      <w:r>
        <w:t xml:space="preserve">dit </w:t>
      </w:r>
      <w:r>
        <w:tab/>
        <w:t>« communicant »</w:t>
      </w:r>
      <w:r w:rsidR="00371C52">
        <w:t xml:space="preserve">. Ce choix </w:t>
      </w:r>
      <w:r w:rsidR="00371C52" w:rsidRPr="00210B08">
        <w:rPr>
          <w:b/>
          <w:bCs/>
        </w:rPr>
        <w:t>doit être garanti</w:t>
      </w:r>
      <w:r w:rsidR="00371C52">
        <w:t xml:space="preserve"> à tout moment (notamment en cas de déménagement</w:t>
      </w:r>
      <w:r>
        <w:t xml:space="preserve">, ou </w:t>
      </w:r>
      <w:r>
        <w:tab/>
        <w:t>simplement de changement d’avis de l’utilisateur</w:t>
      </w:r>
      <w:r w:rsidR="00371C52">
        <w:t xml:space="preserve">) </w:t>
      </w:r>
      <w:r w:rsidR="00C822E9">
        <w:t>et sans aucune pénalité d’ordre financier</w:t>
      </w:r>
      <w:r w:rsidR="00371C52">
        <w:t xml:space="preserve">. La </w:t>
      </w:r>
      <w:r w:rsidR="00C822E9">
        <w:tab/>
      </w:r>
      <w:r w:rsidR="00371C52">
        <w:t xml:space="preserve">procédure proposée à </w:t>
      </w:r>
      <w:r>
        <w:tab/>
      </w:r>
      <w:r w:rsidR="00371C52">
        <w:t>l’utilisateur pour exprimer son choix doit être simple</w:t>
      </w:r>
      <w:r>
        <w:t xml:space="preserve"> et sans ambiguïtés</w:t>
      </w:r>
      <w:r w:rsidR="00371C52">
        <w:t>.</w:t>
      </w:r>
    </w:p>
    <w:p w:rsidR="007A4EBC" w:rsidRDefault="00167EA9" w:rsidP="00210B08">
      <w:pPr>
        <w:ind w:left="360"/>
      </w:pPr>
      <w:r>
        <w:tab/>
        <w:t>b)</w:t>
      </w:r>
      <w:r w:rsidR="00C822E9">
        <w:t xml:space="preserve"> En cas de choix d’un compteur dit « communicant », l’octroi pour l’utilisateur du contrôle permanent </w:t>
      </w:r>
      <w:r w:rsidR="00C822E9">
        <w:tab/>
        <w:t xml:space="preserve">sur les informations recueillies par l’opérateur, avec possibilités de recours en cas d’usages abusifs ou </w:t>
      </w:r>
      <w:r w:rsidR="00C822E9">
        <w:tab/>
        <w:t xml:space="preserve">de recueil de données qui ne seraient pas strictement nécessaires à la mesure de la consommation </w:t>
      </w:r>
      <w:r w:rsidR="00C822E9">
        <w:tab/>
        <w:t>d’énergie.</w:t>
      </w:r>
    </w:p>
    <w:p w:rsidR="007A4EBC" w:rsidRDefault="007A4EBC" w:rsidP="007A4EBC">
      <w:pPr>
        <w:ind w:left="360"/>
      </w:pPr>
      <w:r>
        <w:tab/>
        <w:t xml:space="preserve">c) L’interdiction absolue pour les opérateurs de couper le flux électrique ; l’obligation d’un minimum </w:t>
      </w:r>
      <w:r>
        <w:tab/>
        <w:t xml:space="preserve">légal de consommation électrique doit être garantie par la loi. L’interdiction absolue pour les opérateurs </w:t>
      </w:r>
      <w:r>
        <w:tab/>
        <w:t xml:space="preserve">de réduire le flux électrique sans concertation préalable avec l’utilisateur. Pour ce faire, l’opérateur </w:t>
      </w:r>
      <w:r>
        <w:tab/>
        <w:t xml:space="preserve">concerné devrait prévenir l’utilisateur par un courrier recommandé, au moins 15 jours avant la décision </w:t>
      </w:r>
      <w:r>
        <w:tab/>
        <w:t xml:space="preserve">de l’application d’une réduction, et les possibilités de recours à la réception d’une telle annonce </w:t>
      </w:r>
      <w:proofErr w:type="gramStart"/>
      <w:r>
        <w:t>devrait</w:t>
      </w:r>
      <w:proofErr w:type="gramEnd"/>
      <w:r>
        <w:t xml:space="preserve"> </w:t>
      </w:r>
      <w:r>
        <w:tab/>
        <w:t>être décrites avec précision dans une loi.</w:t>
      </w:r>
    </w:p>
    <w:p w:rsidR="007A4EBC" w:rsidRDefault="00371C52" w:rsidP="007A4EBC">
      <w:pPr>
        <w:ind w:left="360"/>
      </w:pPr>
      <w:r>
        <w:t>3</w:t>
      </w:r>
      <w:r w:rsidR="00477ECA">
        <w:t xml:space="preserve">) Nous plaidons pour un recours systématique aux communications par réseaux filaires (non CPL) à chaque nœud du transit/exploitation des données (compteurs, afficheurs déportés, concentrateurs, GRD), partout où cela est techniquement possible. </w:t>
      </w:r>
    </w:p>
    <w:p w:rsidR="00477ECA" w:rsidRDefault="00371C52" w:rsidP="007A4EBC">
      <w:pPr>
        <w:ind w:left="360"/>
      </w:pPr>
      <w:r>
        <w:t>4</w:t>
      </w:r>
      <w:r w:rsidR="00477ECA">
        <w:t xml:space="preserve">) Nous demandons l’application du principe ALARA (As </w:t>
      </w:r>
      <w:proofErr w:type="spellStart"/>
      <w:r w:rsidR="00477ECA">
        <w:t>Low</w:t>
      </w:r>
      <w:proofErr w:type="spellEnd"/>
      <w:r w:rsidR="00477ECA">
        <w:t xml:space="preserve"> As </w:t>
      </w:r>
      <w:proofErr w:type="spellStart"/>
      <w:r w:rsidR="00477ECA">
        <w:t>Reasonably</w:t>
      </w:r>
      <w:proofErr w:type="spellEnd"/>
      <w:r w:rsidR="00477ECA">
        <w:t xml:space="preserve"> </w:t>
      </w:r>
      <w:proofErr w:type="spellStart"/>
      <w:r w:rsidR="00477ECA">
        <w:t>Achievable</w:t>
      </w:r>
      <w:proofErr w:type="spellEnd"/>
      <w:r w:rsidR="00477ECA">
        <w:t xml:space="preserve">). Concrètement, il s’agit notamment de : </w:t>
      </w:r>
    </w:p>
    <w:p w:rsidR="00477ECA" w:rsidRDefault="007A4EBC" w:rsidP="00477ECA">
      <w:r>
        <w:tab/>
        <w:t xml:space="preserve">- </w:t>
      </w:r>
      <w:r w:rsidR="00477ECA">
        <w:t xml:space="preserve">supprimer ces émissions quand elles ne sont pas strictement nécessaires, </w:t>
      </w:r>
    </w:p>
    <w:p w:rsidR="00477ECA" w:rsidRDefault="007A4EBC" w:rsidP="00477ECA">
      <w:r>
        <w:tab/>
        <w:t xml:space="preserve">- </w:t>
      </w:r>
      <w:r w:rsidR="00477ECA">
        <w:t xml:space="preserve">dans les configurations où de telles émissions sont incontournables pour la transmission des données, </w:t>
      </w:r>
      <w:r>
        <w:tab/>
      </w:r>
      <w:r w:rsidR="00477ECA">
        <w:t xml:space="preserve">minimiser leur taux de répétition et leur intensité (en valeurs moyennes ET en valeurs crêtes) dès le </w:t>
      </w:r>
      <w:r>
        <w:tab/>
      </w:r>
      <w:r w:rsidR="00477ECA">
        <w:t>stade de la conception du matériel,</w:t>
      </w:r>
    </w:p>
    <w:p w:rsidR="00477ECA" w:rsidRDefault="00477ECA" w:rsidP="00477ECA">
      <w:r>
        <w:t xml:space="preserve">Nous pensons qu’il est indispensable d’accorder une attention toute particulière à ces questions dès le stade de la conception du matériel et la sélection des modes de communication. </w:t>
      </w:r>
    </w:p>
    <w:p w:rsidR="00477ECA" w:rsidRDefault="00477ECA" w:rsidP="00477ECA">
      <w:r>
        <w:t xml:space="preserve">Nous espérons donc de votre part un avis final qui soit à la hauteur des multiples enjeux, et en particulier de l’enjeu sanitaire et </w:t>
      </w:r>
      <w:r w:rsidRPr="00477ECA">
        <w:rPr>
          <w:b/>
          <w:bCs/>
        </w:rPr>
        <w:t>de respect de la vie privée</w:t>
      </w:r>
      <w:r>
        <w:t xml:space="preserve"> </w:t>
      </w:r>
      <w:r w:rsidR="007A4EBC">
        <w:t xml:space="preserve">(enjeux fondamentaux dans un système de citoyenneté démocratique) </w:t>
      </w:r>
      <w:r>
        <w:t xml:space="preserve">qui concerne au plus près toute la population bruxelloise. </w:t>
      </w:r>
    </w:p>
    <w:p w:rsidR="00477ECA" w:rsidRDefault="00477ECA" w:rsidP="00477ECA">
      <w:r>
        <w:t xml:space="preserve">Bien cordialement, </w:t>
      </w:r>
    </w:p>
    <w:p w:rsidR="00477ECA" w:rsidRDefault="007A4EBC" w:rsidP="00477ECA">
      <w:bookmarkStart w:id="0" w:name="_GoBack"/>
      <w:bookmarkEnd w:id="0"/>
      <w:r>
        <w:t>Corinne Gobin</w:t>
      </w:r>
    </w:p>
    <w:sectPr w:rsidR="00477ECA" w:rsidSect="006510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ont3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801AE7"/>
    <w:multiLevelType w:val="multilevel"/>
    <w:tmpl w:val="9B6C2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D77F31"/>
    <w:multiLevelType w:val="multilevel"/>
    <w:tmpl w:val="4EE07B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454"/>
    <w:multiLevelType w:val="hybridMultilevel"/>
    <w:tmpl w:val="4EE07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580C"/>
    <w:multiLevelType w:val="hybridMultilevel"/>
    <w:tmpl w:val="0D10900C"/>
    <w:lvl w:ilvl="0" w:tplc="40A0CD78">
      <w:start w:val="1"/>
      <w:numFmt w:val="bullet"/>
      <w:pStyle w:val="Paragraphedelist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6E9"/>
    <w:multiLevelType w:val="multilevel"/>
    <w:tmpl w:val="080C001F"/>
    <w:numStyleLink w:val="111111"/>
  </w:abstractNum>
  <w:abstractNum w:abstractNumId="6">
    <w:nsid w:val="30B95A3C"/>
    <w:multiLevelType w:val="hybridMultilevel"/>
    <w:tmpl w:val="E9829CE8"/>
    <w:lvl w:ilvl="0" w:tplc="AE6049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180E"/>
    <w:multiLevelType w:val="multilevel"/>
    <w:tmpl w:val="09F2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7992631"/>
    <w:multiLevelType w:val="multilevel"/>
    <w:tmpl w:val="4EE07B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E78"/>
    <w:multiLevelType w:val="hybridMultilevel"/>
    <w:tmpl w:val="1B304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3884"/>
    <w:multiLevelType w:val="multilevel"/>
    <w:tmpl w:val="C9AEC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D4070B"/>
    <w:multiLevelType w:val="multilevel"/>
    <w:tmpl w:val="080C001F"/>
    <w:styleLink w:val="111111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1"/>
  </w:num>
  <w:num w:numId="13">
    <w:abstractNumId w:val="5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477ECA"/>
    <w:rsid w:val="00167EA9"/>
    <w:rsid w:val="001E31FA"/>
    <w:rsid w:val="0020604F"/>
    <w:rsid w:val="00210B08"/>
    <w:rsid w:val="00211F74"/>
    <w:rsid w:val="002E6A08"/>
    <w:rsid w:val="002F3630"/>
    <w:rsid w:val="00371C52"/>
    <w:rsid w:val="003C5651"/>
    <w:rsid w:val="00425985"/>
    <w:rsid w:val="004271BC"/>
    <w:rsid w:val="00477ECA"/>
    <w:rsid w:val="004F20D6"/>
    <w:rsid w:val="005A00B7"/>
    <w:rsid w:val="005D121D"/>
    <w:rsid w:val="005D1525"/>
    <w:rsid w:val="006510AF"/>
    <w:rsid w:val="0075499D"/>
    <w:rsid w:val="00786B8A"/>
    <w:rsid w:val="007A4EBC"/>
    <w:rsid w:val="00911A90"/>
    <w:rsid w:val="00911B9A"/>
    <w:rsid w:val="009540D6"/>
    <w:rsid w:val="00A54E0E"/>
    <w:rsid w:val="00A9344D"/>
    <w:rsid w:val="00A93A8E"/>
    <w:rsid w:val="00C345F8"/>
    <w:rsid w:val="00C822E9"/>
    <w:rsid w:val="00CA0A99"/>
    <w:rsid w:val="00D30B6A"/>
    <w:rsid w:val="00D9722C"/>
    <w:rsid w:val="00F46D23"/>
    <w:rsid w:val="00F57F8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A"/>
    <w:pPr>
      <w:spacing w:after="240"/>
      <w:jc w:val="both"/>
    </w:pPr>
    <w:rPr>
      <w:rFonts w:ascii="Times New Roman" w:eastAsiaTheme="minorEastAsia" w:hAnsi="Times New Roman" w:cs="Times New Roman (Corps CS)"/>
      <w:sz w:val="20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271BC"/>
    <w:pPr>
      <w:numPr>
        <w:numId w:val="14"/>
      </w:numPr>
      <w:adjustRightInd w:val="0"/>
      <w:spacing w:before="600" w:line="360" w:lineRule="auto"/>
      <w:outlineLvl w:val="0"/>
    </w:pPr>
    <w:rPr>
      <w:rFonts w:eastAsiaTheme="majorEastAsia" w:cstheme="majorBidi"/>
      <w:b/>
      <w:bCs/>
      <w:iC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1BC"/>
    <w:pPr>
      <w:numPr>
        <w:ilvl w:val="1"/>
        <w:numId w:val="14"/>
      </w:numPr>
      <w:spacing w:before="320" w:line="360" w:lineRule="auto"/>
      <w:outlineLvl w:val="1"/>
    </w:pPr>
    <w:rPr>
      <w:rFonts w:eastAsiaTheme="majorEastAsia" w:cstheme="maj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1BC"/>
    <w:pPr>
      <w:numPr>
        <w:ilvl w:val="2"/>
        <w:numId w:val="14"/>
      </w:numPr>
      <w:spacing w:before="320" w:line="360" w:lineRule="auto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aliases w:val="TITRE"/>
    <w:basedOn w:val="Normal"/>
    <w:next w:val="Normal"/>
    <w:link w:val="TitreCar"/>
    <w:uiPriority w:val="10"/>
    <w:qFormat/>
    <w:rsid w:val="005D1525"/>
    <w:pPr>
      <w:jc w:val="right"/>
    </w:pPr>
    <w:rPr>
      <w:rFonts w:eastAsiaTheme="majorEastAsia" w:cs="Times New Roman (Titres CS)"/>
      <w:b/>
      <w:bCs/>
      <w:iCs/>
      <w:caps/>
      <w:spacing w:val="10"/>
      <w:szCs w:val="60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5D1525"/>
    <w:rPr>
      <w:rFonts w:ascii="Times New Roman" w:eastAsiaTheme="majorEastAsia" w:hAnsi="Times New Roman" w:cs="Times New Roman (Titres CS)"/>
      <w:b/>
      <w:bCs/>
      <w:iCs/>
      <w:caps/>
      <w:spacing w:val="1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A54E0E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71BC"/>
    <w:rPr>
      <w:rFonts w:ascii="Times New Roman" w:eastAsiaTheme="majorEastAsia" w:hAnsi="Times New Roman" w:cstheme="majorBidi"/>
      <w:b/>
      <w:bCs/>
      <w:i/>
      <w:iCs/>
      <w:szCs w:val="26"/>
    </w:rPr>
  </w:style>
  <w:style w:type="paragraph" w:customStyle="1" w:styleId="Style1">
    <w:name w:val="Style1"/>
    <w:basedOn w:val="Titre3"/>
    <w:qFormat/>
    <w:rsid w:val="00A54E0E"/>
    <w:pPr>
      <w:numPr>
        <w:numId w:val="3"/>
      </w:numPr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A54E0E"/>
    <w:rPr>
      <w:rFonts w:ascii="Times New Roman" w:eastAsiaTheme="majorEastAsia" w:hAnsi="Times New Roman" w:cstheme="majorBidi"/>
      <w:b/>
      <w:bCs/>
      <w:iCs/>
      <w:szCs w:val="32"/>
    </w:rPr>
  </w:style>
  <w:style w:type="paragraph" w:customStyle="1" w:styleId="Appelnote">
    <w:name w:val="Appel note"/>
    <w:basedOn w:val="Normal"/>
    <w:qFormat/>
    <w:rsid w:val="003C5651"/>
    <w:pPr>
      <w:spacing w:before="240" w:after="0" w:line="240" w:lineRule="exact"/>
    </w:pPr>
    <w:rPr>
      <w:rFonts w:cs="Times New Roman"/>
      <w:sz w:val="18"/>
      <w:szCs w:val="18"/>
      <w:vertAlign w:val="superscript"/>
      <w:lang w:eastAsia="ja-JP"/>
    </w:rPr>
  </w:style>
  <w:style w:type="paragraph" w:customStyle="1" w:styleId="Notesbasdepages">
    <w:name w:val="Notes bas de pages"/>
    <w:basedOn w:val="Normal"/>
    <w:qFormat/>
    <w:rsid w:val="003C5651"/>
    <w:pPr>
      <w:spacing w:before="240" w:after="0" w:line="240" w:lineRule="exact"/>
      <w:jc w:val="left"/>
    </w:pPr>
    <w:rPr>
      <w:rFonts w:cs="Times New Roman"/>
      <w:sz w:val="18"/>
      <w:szCs w:val="18"/>
    </w:rPr>
  </w:style>
  <w:style w:type="paragraph" w:customStyle="1" w:styleId="BibliographieDL">
    <w:name w:val="BibliographieDL"/>
    <w:basedOn w:val="Normal"/>
    <w:autoRedefine/>
    <w:qFormat/>
    <w:rsid w:val="003C5651"/>
    <w:pPr>
      <w:spacing w:after="0" w:line="200" w:lineRule="exact"/>
      <w:ind w:left="340"/>
    </w:pPr>
    <w:rPr>
      <w:sz w:val="18"/>
    </w:rPr>
  </w:style>
  <w:style w:type="character" w:customStyle="1" w:styleId="numdebdp">
    <w:name w:val="num de bdp"/>
    <w:basedOn w:val="Policepardfaut"/>
    <w:uiPriority w:val="1"/>
    <w:qFormat/>
    <w:rsid w:val="003C5651"/>
    <w:rPr>
      <w:rFonts w:ascii="Times New Roman" w:hAnsi="Times New Roman"/>
      <w:b w:val="0"/>
      <w:i w:val="0"/>
      <w:sz w:val="18"/>
      <w:vertAlign w:val="superscript"/>
    </w:rPr>
  </w:style>
  <w:style w:type="paragraph" w:customStyle="1" w:styleId="Auteur">
    <w:name w:val="Auteur"/>
    <w:basedOn w:val="Normal"/>
    <w:qFormat/>
    <w:rsid w:val="004F20D6"/>
    <w:pPr>
      <w:spacing w:after="0"/>
      <w:jc w:val="right"/>
    </w:pPr>
    <w:rPr>
      <w:sz w:val="24"/>
    </w:rPr>
  </w:style>
  <w:style w:type="character" w:customStyle="1" w:styleId="AppelNoteDL">
    <w:name w:val="AppelNoteDL"/>
    <w:basedOn w:val="Policepardfaut"/>
    <w:uiPriority w:val="1"/>
    <w:qFormat/>
    <w:rsid w:val="004F20D6"/>
    <w:rPr>
      <w:rFonts w:ascii="Times New Roman" w:hAnsi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autoRedefine/>
    <w:qFormat/>
    <w:rsid w:val="005D121D"/>
    <w:pPr>
      <w:suppressAutoHyphens/>
      <w:spacing w:after="0"/>
    </w:pPr>
    <w:rPr>
      <w:rFonts w:asciiTheme="minorHAnsi" w:eastAsia="Cambria" w:hAnsiTheme="minorHAnsi" w:cs="font39"/>
      <w:i/>
      <w:kern w:val="1"/>
      <w:sz w:val="24"/>
      <w:szCs w:val="24"/>
    </w:rPr>
  </w:style>
  <w:style w:type="character" w:customStyle="1" w:styleId="NotedebasdepageCar">
    <w:name w:val="Note de bas de page Car"/>
    <w:link w:val="Notedebasdepage"/>
    <w:rsid w:val="005D121D"/>
    <w:rPr>
      <w:rFonts w:eastAsia="Cambria" w:cs="font39"/>
      <w:i/>
      <w:kern w:val="1"/>
    </w:rPr>
  </w:style>
  <w:style w:type="paragraph" w:styleId="Paragraphedeliste">
    <w:name w:val="List Paragraph"/>
    <w:basedOn w:val="Normal"/>
    <w:uiPriority w:val="34"/>
    <w:qFormat/>
    <w:rsid w:val="001E31FA"/>
    <w:pPr>
      <w:numPr>
        <w:numId w:val="9"/>
      </w:numPr>
      <w:spacing w:before="240" w:after="0" w:line="240" w:lineRule="exact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271B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DEROUBAIX</dc:creator>
  <cp:keywords/>
  <dc:description/>
  <cp:lastModifiedBy>Corinne Gobin</cp:lastModifiedBy>
  <cp:revision>2</cp:revision>
  <dcterms:created xsi:type="dcterms:W3CDTF">2020-05-29T12:12:00Z</dcterms:created>
  <dcterms:modified xsi:type="dcterms:W3CDTF">2020-05-29T12:12:00Z</dcterms:modified>
</cp:coreProperties>
</file>